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32F3C">
      <w:pPr>
        <w:spacing w:line="360" w:lineRule="auto"/>
        <w:rPr>
          <w:rFonts w:hint="eastAsia" w:ascii="宋体" w:hAnsi="宋体" w:eastAsia="宋体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shd w:val="clear" w:color="auto" w:fill="FFFFFF"/>
        </w:rPr>
        <w:t xml:space="preserve">附件 </w:t>
      </w:r>
      <w:r>
        <w:rPr>
          <w:rFonts w:hint="eastAsia" w:ascii="宋体" w:hAnsi="宋体" w:eastAsia="宋体"/>
          <w:b w:val="0"/>
          <w:bCs w:val="0"/>
          <w:sz w:val="28"/>
          <w:szCs w:val="28"/>
          <w:shd w:val="clear" w:color="auto" w:fill="FFFFFF"/>
          <w:lang w:val="en-US" w:eastAsia="zh-CN"/>
        </w:rPr>
        <w:t>3</w:t>
      </w:r>
    </w:p>
    <w:p w14:paraId="3927C9D1">
      <w:pPr>
        <w:spacing w:line="600" w:lineRule="exact"/>
        <w:jc w:val="center"/>
        <w:rPr>
          <w:rFonts w:hint="eastAsia" w:ascii="黑体" w:hAnsi="黑体" w:eastAsia="黑体" w:cs="方正小标宋简体"/>
          <w:sz w:val="36"/>
          <w:szCs w:val="36"/>
          <w:shd w:val="clear" w:color="auto" w:fill="FFFFFF"/>
        </w:rPr>
      </w:pPr>
      <w:r>
        <w:rPr>
          <w:rFonts w:hint="eastAsia" w:ascii="黑体" w:hAnsi="黑体" w:eastAsia="黑体"/>
          <w:sz w:val="36"/>
          <w:szCs w:val="36"/>
          <w:shd w:val="clear" w:color="auto" w:fill="FFFFFF"/>
        </w:rPr>
        <w:t>湖北经济学院</w:t>
      </w:r>
      <w:r>
        <w:rPr>
          <w:rFonts w:hint="eastAsia" w:ascii="黑体" w:hAnsi="黑体" w:eastAsia="黑体"/>
          <w:sz w:val="36"/>
          <w:szCs w:val="36"/>
          <w:shd w:val="clear" w:color="auto" w:fill="FFFFFF"/>
          <w:lang w:val="en-US" w:eastAsia="zh-CN"/>
        </w:rPr>
        <w:t>研究生</w:t>
      </w:r>
      <w:r>
        <w:rPr>
          <w:rFonts w:hint="eastAsia" w:ascii="黑体" w:hAnsi="黑体" w:eastAsia="黑体" w:cs="方正小标宋简体"/>
          <w:sz w:val="36"/>
          <w:szCs w:val="36"/>
          <w:shd w:val="clear" w:color="auto" w:fill="FFFFFF"/>
        </w:rPr>
        <w:t>教学案例入库标准</w:t>
      </w:r>
    </w:p>
    <w:p w14:paraId="46763988">
      <w:pPr>
        <w:spacing w:line="600" w:lineRule="exact"/>
        <w:jc w:val="center"/>
        <w:rPr>
          <w:rFonts w:hint="eastAsia" w:ascii="黑体" w:hAnsi="黑体" w:eastAsia="黑体" w:cs="方正小标宋简体"/>
          <w:sz w:val="36"/>
          <w:szCs w:val="36"/>
          <w:shd w:val="clear" w:color="auto" w:fill="FFFFFF"/>
        </w:rPr>
      </w:pPr>
      <w:r>
        <w:rPr>
          <w:rFonts w:hint="eastAsia" w:ascii="黑体" w:hAnsi="黑体" w:eastAsia="黑体" w:cs="方正小标宋简体"/>
          <w:sz w:val="36"/>
          <w:szCs w:val="36"/>
          <w:shd w:val="clear" w:color="auto" w:fill="FFFFFF"/>
        </w:rPr>
        <w:t>（试行版）</w:t>
      </w:r>
    </w:p>
    <w:tbl>
      <w:tblPr>
        <w:tblStyle w:val="5"/>
        <w:tblpPr w:leftFromText="180" w:rightFromText="180" w:vertAnchor="text" w:horzAnchor="page" w:tblpX="1290" w:tblpY="504"/>
        <w:tblOverlap w:val="never"/>
        <w:tblW w:w="9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055"/>
        <w:gridCol w:w="6075"/>
      </w:tblGrid>
      <w:tr w14:paraId="070BE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835" w:type="dxa"/>
            <w:gridSpan w:val="3"/>
            <w:vAlign w:val="center"/>
          </w:tcPr>
          <w:p w14:paraId="4089F1BE">
            <w:pPr>
              <w:widowControl w:val="0"/>
              <w:kinsoku/>
              <w:overflowPunct w:val="0"/>
              <w:spacing w:line="420" w:lineRule="exact"/>
              <w:jc w:val="center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第一部分  基本要求</w:t>
            </w:r>
          </w:p>
        </w:tc>
      </w:tr>
      <w:tr w14:paraId="5B4C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705" w:type="dxa"/>
            <w:vAlign w:val="center"/>
          </w:tcPr>
          <w:p w14:paraId="7001F726">
            <w:pPr>
              <w:widowControl w:val="0"/>
              <w:kinsoku/>
              <w:overflowPunct w:val="0"/>
              <w:spacing w:line="420" w:lineRule="exact"/>
              <w:jc w:val="center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1.政治要求</w:t>
            </w:r>
          </w:p>
        </w:tc>
        <w:tc>
          <w:tcPr>
            <w:tcW w:w="2055" w:type="dxa"/>
            <w:vAlign w:val="center"/>
          </w:tcPr>
          <w:p w14:paraId="167368E4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具有正确的政治方向</w:t>
            </w:r>
          </w:p>
        </w:tc>
        <w:tc>
          <w:tcPr>
            <w:tcW w:w="6075" w:type="dxa"/>
            <w:vAlign w:val="center"/>
          </w:tcPr>
          <w:p w14:paraId="648B9E82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坚持社会主义核心价值观；不得与我国现行政策、法律、法规相抵触；不得损害国家荣誉和利益。</w:t>
            </w:r>
          </w:p>
        </w:tc>
      </w:tr>
      <w:tr w14:paraId="6E3F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705" w:type="dxa"/>
            <w:vAlign w:val="center"/>
          </w:tcPr>
          <w:p w14:paraId="2ED8B17D">
            <w:pPr>
              <w:widowControl w:val="0"/>
              <w:kinsoku/>
              <w:overflowPunct w:val="0"/>
              <w:spacing w:line="420" w:lineRule="exact"/>
              <w:jc w:val="center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2.版权要求</w:t>
            </w:r>
          </w:p>
        </w:tc>
        <w:tc>
          <w:tcPr>
            <w:tcW w:w="2055" w:type="dxa"/>
            <w:vAlign w:val="center"/>
          </w:tcPr>
          <w:p w14:paraId="4A1DD609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不得侵犯任何第三方权力</w:t>
            </w:r>
          </w:p>
        </w:tc>
        <w:tc>
          <w:tcPr>
            <w:tcW w:w="6075" w:type="dxa"/>
            <w:vAlign w:val="center"/>
          </w:tcPr>
          <w:p w14:paraId="75A8F800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遵循学术研究的基本规范，恪守学术道德，维护学术尊严。建设过程真实，不以任何方式抄袭、剽窃或侵吞他人学术成果，杜绝伪注、伪造、篡改文献和数据等学术不端行为；成果真实，不重复发表研究成果。</w:t>
            </w:r>
          </w:p>
        </w:tc>
      </w:tr>
      <w:tr w14:paraId="585E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35" w:type="dxa"/>
            <w:gridSpan w:val="3"/>
            <w:vAlign w:val="center"/>
          </w:tcPr>
          <w:p w14:paraId="02AD95F4">
            <w:pPr>
              <w:widowControl w:val="0"/>
              <w:kinsoku/>
              <w:overflowPunct w:val="0"/>
              <w:spacing w:line="420" w:lineRule="exact"/>
              <w:jc w:val="center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第二部分  案例正文</w:t>
            </w:r>
          </w:p>
        </w:tc>
      </w:tr>
      <w:tr w14:paraId="7CB4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705" w:type="dxa"/>
            <w:vMerge w:val="restart"/>
            <w:vAlign w:val="center"/>
          </w:tcPr>
          <w:p w14:paraId="38208429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3.案例选题</w:t>
            </w:r>
          </w:p>
        </w:tc>
        <w:tc>
          <w:tcPr>
            <w:tcW w:w="2055" w:type="dxa"/>
            <w:vAlign w:val="center"/>
          </w:tcPr>
          <w:p w14:paraId="527AE89E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属于相对应行业领域</w:t>
            </w:r>
          </w:p>
        </w:tc>
        <w:tc>
          <w:tcPr>
            <w:tcW w:w="6075" w:type="dxa"/>
            <w:vAlign w:val="center"/>
          </w:tcPr>
          <w:p w14:paraId="503AD96D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案例选题关注的是国际、国内中国对应改革与发展的实践。</w:t>
            </w:r>
          </w:p>
        </w:tc>
      </w:tr>
      <w:tr w14:paraId="110E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705" w:type="dxa"/>
            <w:vMerge w:val="continue"/>
            <w:vAlign w:val="center"/>
          </w:tcPr>
          <w:p w14:paraId="23EC8DE7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450C8B71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坚持服务教学</w:t>
            </w:r>
          </w:p>
        </w:tc>
        <w:tc>
          <w:tcPr>
            <w:tcW w:w="6075" w:type="dxa"/>
            <w:vAlign w:val="center"/>
          </w:tcPr>
          <w:p w14:paraId="0D4E548E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案例选题应紧密结合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研究生相关课程教学的需要。</w:t>
            </w:r>
          </w:p>
        </w:tc>
      </w:tr>
      <w:tr w14:paraId="381C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Merge w:val="continue"/>
            <w:vAlign w:val="center"/>
          </w:tcPr>
          <w:p w14:paraId="76F63A69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5F2BB552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具有时代性</w:t>
            </w:r>
          </w:p>
        </w:tc>
        <w:tc>
          <w:tcPr>
            <w:tcW w:w="6075" w:type="dxa"/>
            <w:vAlign w:val="center"/>
          </w:tcPr>
          <w:p w14:paraId="2AD7E946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案例选题紧跟学科专业理论与实践发展的时代前沿，反映当前特定学科专业理论的新认识和实践的新举措。</w:t>
            </w:r>
          </w:p>
        </w:tc>
      </w:tr>
      <w:tr w14:paraId="6253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05" w:type="dxa"/>
            <w:vMerge w:val="continue"/>
            <w:vAlign w:val="center"/>
          </w:tcPr>
          <w:p w14:paraId="4B4E9181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2030E752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具有代表性</w:t>
            </w:r>
          </w:p>
        </w:tc>
        <w:tc>
          <w:tcPr>
            <w:tcW w:w="6075" w:type="dxa"/>
            <w:vAlign w:val="center"/>
          </w:tcPr>
          <w:p w14:paraId="0F26E605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案例选题具有一定的普遍性，反映一般性的关注。</w:t>
            </w:r>
          </w:p>
        </w:tc>
      </w:tr>
      <w:tr w14:paraId="1D2F1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Merge w:val="restart"/>
            <w:vAlign w:val="center"/>
          </w:tcPr>
          <w:p w14:paraId="2756B58C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4.案例内容</w:t>
            </w:r>
          </w:p>
        </w:tc>
        <w:tc>
          <w:tcPr>
            <w:tcW w:w="2055" w:type="dxa"/>
            <w:vAlign w:val="center"/>
          </w:tcPr>
          <w:p w14:paraId="447F7ED8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真实可信</w:t>
            </w:r>
          </w:p>
        </w:tc>
        <w:tc>
          <w:tcPr>
            <w:tcW w:w="6075" w:type="dxa"/>
            <w:vAlign w:val="center"/>
          </w:tcPr>
          <w:p w14:paraId="6A320D24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案例是对已发生事实的如实记录，非杜撰，虚构、臆想之物。</w:t>
            </w:r>
          </w:p>
        </w:tc>
      </w:tr>
      <w:tr w14:paraId="4C30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Merge w:val="continue"/>
            <w:vAlign w:val="center"/>
          </w:tcPr>
          <w:p w14:paraId="323C7241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53F7F34A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材料客观丰富</w:t>
            </w:r>
          </w:p>
        </w:tc>
        <w:tc>
          <w:tcPr>
            <w:tcW w:w="6075" w:type="dxa"/>
            <w:vAlign w:val="center"/>
          </w:tcPr>
          <w:p w14:paraId="6A3D4941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案例是在系统深入调研或实验的基础上精心编写而成的，而不是从已出版论著中简单转抄而来，案例应充分呈现调研、实验获得的一手材料。</w:t>
            </w:r>
          </w:p>
        </w:tc>
      </w:tr>
      <w:tr w14:paraId="3331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Merge w:val="continue"/>
            <w:vAlign w:val="center"/>
          </w:tcPr>
          <w:p w14:paraId="6E6CAC8A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5A2429A9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有一定的篇幅与难度</w:t>
            </w:r>
          </w:p>
        </w:tc>
        <w:tc>
          <w:tcPr>
            <w:tcW w:w="6075" w:type="dxa"/>
            <w:vAlign w:val="center"/>
          </w:tcPr>
          <w:p w14:paraId="385F183B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案例正文的篇幅根据大、中、小类型确定。在内容呈现、概念把握与结构性上有一定的难度，不简单表露问题、观点与价值的取向，有争鸣和讨论的空间。</w:t>
            </w:r>
          </w:p>
        </w:tc>
      </w:tr>
      <w:tr w14:paraId="1F80C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Merge w:val="continue"/>
            <w:vAlign w:val="center"/>
          </w:tcPr>
          <w:p w14:paraId="05B5413D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159486FF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结构完整</w:t>
            </w:r>
          </w:p>
        </w:tc>
        <w:tc>
          <w:tcPr>
            <w:tcW w:w="6075" w:type="dxa"/>
            <w:vAlign w:val="center"/>
          </w:tcPr>
          <w:p w14:paraId="7E0BA333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包括案例名称、中英文摘要及关键词、作者和版权相关信息、案例正文等内容。</w:t>
            </w:r>
          </w:p>
        </w:tc>
      </w:tr>
      <w:tr w14:paraId="343A6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Merge w:val="continue"/>
            <w:vAlign w:val="center"/>
          </w:tcPr>
          <w:p w14:paraId="2B949C9D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7F48F9EA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谋篇布局合理</w:t>
            </w:r>
          </w:p>
        </w:tc>
        <w:tc>
          <w:tcPr>
            <w:tcW w:w="6075" w:type="dxa"/>
            <w:vAlign w:val="center"/>
          </w:tcPr>
          <w:p w14:paraId="2DA87FC5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能综合考虑案例的主题和素材，做到主线清晰，案例素材和主线结构匹配合理，案例内容层次清晰、衔接自然。</w:t>
            </w:r>
          </w:p>
        </w:tc>
      </w:tr>
      <w:tr w14:paraId="07EA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705" w:type="dxa"/>
            <w:vMerge w:val="continue"/>
            <w:vAlign w:val="center"/>
          </w:tcPr>
          <w:p w14:paraId="3EE1188C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5C77831B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背景信息充分</w:t>
            </w:r>
          </w:p>
        </w:tc>
        <w:tc>
          <w:tcPr>
            <w:tcW w:w="6075" w:type="dxa"/>
            <w:vAlign w:val="center"/>
          </w:tcPr>
          <w:p w14:paraId="6FED9140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能很好地交代案例的政策与实践背景、知识与理论背景、以及案例对象的相关信息。</w:t>
            </w:r>
          </w:p>
        </w:tc>
      </w:tr>
      <w:tr w14:paraId="0BBC7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705" w:type="dxa"/>
            <w:vAlign w:val="center"/>
          </w:tcPr>
          <w:p w14:paraId="3FCFB938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5.补充材料</w:t>
            </w:r>
          </w:p>
        </w:tc>
        <w:tc>
          <w:tcPr>
            <w:tcW w:w="2055" w:type="dxa"/>
            <w:vAlign w:val="center"/>
          </w:tcPr>
          <w:p w14:paraId="1F01627A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案例附件必要有效</w:t>
            </w:r>
          </w:p>
        </w:tc>
        <w:tc>
          <w:tcPr>
            <w:tcW w:w="6075" w:type="dxa"/>
            <w:vAlign w:val="center"/>
          </w:tcPr>
          <w:p w14:paraId="132BA097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能很好地补充案例正文的信息，有利于学生扩展与深化对问题的思考。</w:t>
            </w:r>
          </w:p>
        </w:tc>
      </w:tr>
      <w:tr w14:paraId="251FA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835" w:type="dxa"/>
            <w:gridSpan w:val="3"/>
            <w:vAlign w:val="center"/>
          </w:tcPr>
          <w:p w14:paraId="5774564D">
            <w:pPr>
              <w:widowControl w:val="0"/>
              <w:kinsoku/>
              <w:overflowPunct w:val="0"/>
              <w:spacing w:line="420" w:lineRule="exact"/>
              <w:jc w:val="center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第三部分  教学指导手册（案例使用说明）</w:t>
            </w:r>
          </w:p>
        </w:tc>
      </w:tr>
      <w:tr w14:paraId="2A8E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705" w:type="dxa"/>
            <w:vAlign w:val="center"/>
          </w:tcPr>
          <w:p w14:paraId="4A27D361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6.教学目标</w:t>
            </w:r>
          </w:p>
        </w:tc>
        <w:tc>
          <w:tcPr>
            <w:tcW w:w="2055" w:type="dxa"/>
            <w:vAlign w:val="center"/>
          </w:tcPr>
          <w:p w14:paraId="74E51563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教学目标设定恰当</w:t>
            </w:r>
          </w:p>
        </w:tc>
        <w:tc>
          <w:tcPr>
            <w:tcW w:w="6075" w:type="dxa"/>
            <w:vAlign w:val="center"/>
          </w:tcPr>
          <w:p w14:paraId="13727F6A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包含教学用途、授课对象及适用课程等;教学目标设定与课程教学目标和知识点对应，能综合考虑案例的知识覆盖和对学生分析问题、解决问题能力的训练。</w:t>
            </w:r>
          </w:p>
        </w:tc>
      </w:tr>
      <w:tr w14:paraId="7AA3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1705" w:type="dxa"/>
            <w:vAlign w:val="center"/>
          </w:tcPr>
          <w:p w14:paraId="3F083C7B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7.启发思考题</w:t>
            </w:r>
          </w:p>
        </w:tc>
        <w:tc>
          <w:tcPr>
            <w:tcW w:w="2055" w:type="dxa"/>
            <w:vAlign w:val="center"/>
          </w:tcPr>
          <w:p w14:paraId="3A0507A3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思考题设计合理</w:t>
            </w:r>
          </w:p>
        </w:tc>
        <w:tc>
          <w:tcPr>
            <w:tcW w:w="6075" w:type="dxa"/>
            <w:vAlign w:val="center"/>
          </w:tcPr>
          <w:p w14:paraId="6E02C098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问题能紧密结合案例与教学目标，具有启发性、开放性与层次性；能够将理论与实践、知识学习与能力提升很好地结合起来，有针对性的课堂讨论问题，3-5题为宜。</w:t>
            </w:r>
          </w:p>
        </w:tc>
      </w:tr>
      <w:tr w14:paraId="2841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705" w:type="dxa"/>
            <w:vAlign w:val="center"/>
          </w:tcPr>
          <w:p w14:paraId="6B7B6F6A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8.分析思路</w:t>
            </w:r>
          </w:p>
        </w:tc>
        <w:tc>
          <w:tcPr>
            <w:tcW w:w="2055" w:type="dxa"/>
            <w:vAlign w:val="center"/>
          </w:tcPr>
          <w:p w14:paraId="796E2692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逻辑清晰</w:t>
            </w:r>
          </w:p>
        </w:tc>
        <w:tc>
          <w:tcPr>
            <w:tcW w:w="6075" w:type="dxa"/>
            <w:vAlign w:val="center"/>
          </w:tcPr>
          <w:p w14:paraId="11CAB2FE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能够清晰展示案例分析的逻辑结构，体现案例问题、相关知识点和理论内在的逻辑关系。</w:t>
            </w:r>
          </w:p>
        </w:tc>
      </w:tr>
      <w:tr w14:paraId="33728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705E78F4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9.案例分析</w:t>
            </w:r>
          </w:p>
        </w:tc>
        <w:tc>
          <w:tcPr>
            <w:tcW w:w="2055" w:type="dxa"/>
            <w:vAlign w:val="center"/>
          </w:tcPr>
          <w:p w14:paraId="73532BD6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要点提示清晰到位</w:t>
            </w:r>
          </w:p>
        </w:tc>
        <w:tc>
          <w:tcPr>
            <w:tcW w:w="6075" w:type="dxa"/>
            <w:vAlign w:val="center"/>
          </w:tcPr>
          <w:p w14:paraId="58C5B30B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能清楚交代案例问题的基础理论、相关知识及分析方法，有利于教师和学生对案例问题进行系统的总结，同时帮助教师和学生有针对性地学习与案例相关的知识。</w:t>
            </w:r>
          </w:p>
        </w:tc>
      </w:tr>
      <w:tr w14:paraId="629E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4AF399B1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10.课堂设计</w:t>
            </w:r>
          </w:p>
        </w:tc>
        <w:tc>
          <w:tcPr>
            <w:tcW w:w="2055" w:type="dxa"/>
            <w:vAlign w:val="center"/>
          </w:tcPr>
          <w:p w14:paraId="7E5BEFE4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课堂教学建议合理</w:t>
            </w:r>
          </w:p>
        </w:tc>
        <w:tc>
          <w:tcPr>
            <w:tcW w:w="6075" w:type="dxa"/>
            <w:vAlign w:val="center"/>
          </w:tcPr>
          <w:p w14:paraId="280F00CE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包括师生课前计划的安排、课堂讨论交流的形式、时间进度计划、教师注意要点和课后如何评估等内容，能考虑不同学校、学生的情况。</w:t>
            </w:r>
          </w:p>
        </w:tc>
      </w:tr>
      <w:tr w14:paraId="1E058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7B4B371B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11.要点汇总</w:t>
            </w:r>
          </w:p>
        </w:tc>
        <w:tc>
          <w:tcPr>
            <w:tcW w:w="2055" w:type="dxa"/>
            <w:vAlign w:val="center"/>
          </w:tcPr>
          <w:p w14:paraId="0F8E0943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突出重点、引发持续思考</w:t>
            </w:r>
          </w:p>
        </w:tc>
        <w:tc>
          <w:tcPr>
            <w:tcW w:w="6075" w:type="dxa"/>
            <w:vAlign w:val="center"/>
          </w:tcPr>
          <w:p w14:paraId="57060BF5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梳理案例涉及的主要教学知识点、总结和淬炼隐含的案例启示等。</w:t>
            </w:r>
          </w:p>
        </w:tc>
      </w:tr>
      <w:tr w14:paraId="53C7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561E86A2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12.其他说明</w:t>
            </w:r>
          </w:p>
        </w:tc>
        <w:tc>
          <w:tcPr>
            <w:tcW w:w="2055" w:type="dxa"/>
            <w:vAlign w:val="center"/>
          </w:tcPr>
          <w:p w14:paraId="6C1FCA6B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推荐阅读的相关资料、案例后续进展等</w:t>
            </w:r>
          </w:p>
        </w:tc>
        <w:tc>
          <w:tcPr>
            <w:tcW w:w="6075" w:type="dxa"/>
            <w:vAlign w:val="center"/>
          </w:tcPr>
          <w:p w14:paraId="1AA55559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推荐文献资料应紧密结合案例内容与教学目标，具有权威性，有助于案例的理解、分析与深入持续讨论。</w:t>
            </w:r>
          </w:p>
        </w:tc>
      </w:tr>
      <w:tr w14:paraId="6D8BB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835" w:type="dxa"/>
            <w:gridSpan w:val="3"/>
            <w:vAlign w:val="center"/>
          </w:tcPr>
          <w:p w14:paraId="382E915F">
            <w:pPr>
              <w:widowControl w:val="0"/>
              <w:kinsoku/>
              <w:overflowPunct w:val="0"/>
              <w:spacing w:line="420" w:lineRule="exact"/>
              <w:jc w:val="center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第四部分  文稿质量</w:t>
            </w:r>
          </w:p>
        </w:tc>
      </w:tr>
      <w:tr w14:paraId="79EC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Merge w:val="restart"/>
            <w:vAlign w:val="center"/>
          </w:tcPr>
          <w:p w14:paraId="246DB568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13.规范性</w:t>
            </w:r>
          </w:p>
        </w:tc>
        <w:tc>
          <w:tcPr>
            <w:tcW w:w="2055" w:type="dxa"/>
            <w:vAlign w:val="center"/>
          </w:tcPr>
          <w:p w14:paraId="1FD5163F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文字规范</w:t>
            </w:r>
          </w:p>
        </w:tc>
        <w:tc>
          <w:tcPr>
            <w:tcW w:w="6075" w:type="dxa"/>
            <w:vAlign w:val="center"/>
          </w:tcPr>
          <w:p w14:paraId="4CC342F5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用生动、简洁的语言将内容表述清楚，做到段落清晰、断句清楚、语法和标点符号正确措辞恰当、表达时态正确、文风平实等。</w:t>
            </w:r>
          </w:p>
        </w:tc>
      </w:tr>
      <w:tr w14:paraId="3938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05" w:type="dxa"/>
            <w:vMerge w:val="continue"/>
            <w:vAlign w:val="center"/>
          </w:tcPr>
          <w:p w14:paraId="01721F56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vAlign w:val="center"/>
          </w:tcPr>
          <w:p w14:paraId="1228D7A0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格式规范</w:t>
            </w:r>
          </w:p>
        </w:tc>
        <w:tc>
          <w:tcPr>
            <w:tcW w:w="6075" w:type="dxa"/>
            <w:vAlign w:val="center"/>
          </w:tcPr>
          <w:p w14:paraId="43E4BD23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在字体、段落、文献标注等方面，严格按照</w:t>
            </w:r>
          </w:p>
        </w:tc>
      </w:tr>
      <w:tr w14:paraId="2420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5319B2B4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z w:val="24"/>
                <w:szCs w:val="24"/>
                <w:shd w:val="clear" w:color="auto" w:fill="FFFFFF"/>
              </w:rPr>
              <w:t>14.可读性</w:t>
            </w:r>
          </w:p>
        </w:tc>
        <w:tc>
          <w:tcPr>
            <w:tcW w:w="2055" w:type="dxa"/>
            <w:vAlign w:val="center"/>
          </w:tcPr>
          <w:p w14:paraId="1BE975BD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可读性强</w:t>
            </w:r>
          </w:p>
        </w:tc>
        <w:tc>
          <w:tcPr>
            <w:tcW w:w="6075" w:type="dxa"/>
            <w:vAlign w:val="center"/>
          </w:tcPr>
          <w:p w14:paraId="66569F09">
            <w:pPr>
              <w:widowControl w:val="0"/>
              <w:kinsoku/>
              <w:overflowPunct w:val="0"/>
              <w:spacing w:line="420" w:lineRule="exact"/>
              <w:jc w:val="both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shd w:val="clear" w:color="auto" w:fill="FFFFFF"/>
              </w:rPr>
              <w:t>案例生动有趣，可读性强，内容表述能够激发学生阅读兴趣。</w:t>
            </w:r>
          </w:p>
        </w:tc>
      </w:tr>
    </w:tbl>
    <w:p w14:paraId="7D647179">
      <w:pPr>
        <w:jc w:val="both"/>
        <w:rPr>
          <w:rFonts w:ascii="sans-serif" w:hAnsi="sans-serif" w:eastAsia="sans-serif" w:cs="sans-serif"/>
          <w:sz w:val="21"/>
          <w:szCs w:val="21"/>
          <w:shd w:val="clear" w:color="auto" w:fill="FFFFFF"/>
        </w:rPr>
      </w:pPr>
    </w:p>
    <w:sectPr>
      <w:pgSz w:w="11906" w:h="16838"/>
      <w:pgMar w:top="1157" w:right="1349" w:bottom="1157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931980-1048-4EC0-93E6-085B5A9A46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630F5DEF-7557-44BC-BD49-F6F8391EF14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27503602-AECC-4D13-A89F-1FB6762C6CC0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NTNjMjdjMGZjNzgyNWRjY2Q3MzQ2NjYyMDQwZDQifQ=="/>
  </w:docVars>
  <w:rsids>
    <w:rsidRoot w:val="2D04786F"/>
    <w:rsid w:val="00304AD2"/>
    <w:rsid w:val="004E001A"/>
    <w:rsid w:val="006071D7"/>
    <w:rsid w:val="00CD7C9B"/>
    <w:rsid w:val="03906A9D"/>
    <w:rsid w:val="060C445E"/>
    <w:rsid w:val="09075C0E"/>
    <w:rsid w:val="12B75DF4"/>
    <w:rsid w:val="13693592"/>
    <w:rsid w:val="16016E6E"/>
    <w:rsid w:val="167C7F5B"/>
    <w:rsid w:val="17654071"/>
    <w:rsid w:val="1A3D7142"/>
    <w:rsid w:val="1DD65CC8"/>
    <w:rsid w:val="1F354C71"/>
    <w:rsid w:val="21957C48"/>
    <w:rsid w:val="2A481CFC"/>
    <w:rsid w:val="2D04786F"/>
    <w:rsid w:val="2E6966E5"/>
    <w:rsid w:val="315C727B"/>
    <w:rsid w:val="327D62BB"/>
    <w:rsid w:val="35F9034E"/>
    <w:rsid w:val="3BE850ED"/>
    <w:rsid w:val="3C636521"/>
    <w:rsid w:val="3F5A497F"/>
    <w:rsid w:val="42557F64"/>
    <w:rsid w:val="4256258F"/>
    <w:rsid w:val="439D74D5"/>
    <w:rsid w:val="4521341D"/>
    <w:rsid w:val="46F10BCE"/>
    <w:rsid w:val="48362D3C"/>
    <w:rsid w:val="53BB67EB"/>
    <w:rsid w:val="54E77187"/>
    <w:rsid w:val="58112E7E"/>
    <w:rsid w:val="588E0972"/>
    <w:rsid w:val="61545DDB"/>
    <w:rsid w:val="62023463"/>
    <w:rsid w:val="620D6DAC"/>
    <w:rsid w:val="646F31FC"/>
    <w:rsid w:val="68B35BAF"/>
    <w:rsid w:val="68F6116F"/>
    <w:rsid w:val="690B56C7"/>
    <w:rsid w:val="6A5F488C"/>
    <w:rsid w:val="6AAD2EDA"/>
    <w:rsid w:val="6DDA6CDC"/>
    <w:rsid w:val="72EC0317"/>
    <w:rsid w:val="73FE724E"/>
    <w:rsid w:val="76EA5E70"/>
    <w:rsid w:val="7D58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宋体" w:eastAsiaTheme="minorEastAsia"/>
      <w:b/>
      <w:bCs/>
      <w:snapToGrid w:val="0"/>
      <w:color w:val="00000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Arial" w:hAnsi="Arial" w:cs="宋体" w:eastAsiaTheme="minorEastAsia"/>
      <w:b/>
      <w:bCs/>
      <w:snapToGrid w:val="0"/>
      <w:color w:val="000000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Arial" w:hAnsi="Arial" w:cs="宋体" w:eastAsiaTheme="minorEastAsia"/>
      <w:b/>
      <w:bCs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市教育局</Company>
  <Pages>2</Pages>
  <Words>1352</Words>
  <Characters>1373</Characters>
  <Lines>68</Lines>
  <Paragraphs>70</Paragraphs>
  <TotalTime>33</TotalTime>
  <ScaleCrop>false</ScaleCrop>
  <LinksUpToDate>false</LinksUpToDate>
  <CharactersWithSpaces>1382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2024-09-23T07:39:00Z</dcterms:created>
  <dc:creator>ガイァスザ</dc:creator>
  <cp:lastModifiedBy>HP</cp:lastModifiedBy>
  <cp:lastPrinted>2025-05-08T02:57:00Z</cp:lastPrinted>
  <dcterms:modified xsi:type="dcterms:W3CDTF">2025-05-08T23:57:05Z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DC63E9F814224606B997019F4A788432_13</vt:lpwstr>
  </property>
  <property fmtid="{D5CDD505-2E9C-101B-9397-08002B2CF9AE}" pid="4" name="KSOTemplateDocerSaveRecord">
    <vt:lpwstr>eyJoZGlkIjoiZmJhMWU4NTM2MTRkZTI0NjM5YzM0OTNjN2IzMTI5NTQiLCJ1c2VySWQiOiIyMTA1NzM4NjkifQ==</vt:lpwstr>
  </property>
</Properties>
</file>